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C5" w:rsidRDefault="00453D04">
      <w:pPr>
        <w:spacing w:after="0"/>
        <w:ind w:right="6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63920" cy="59309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C5" w:rsidRDefault="003F79C5">
      <w:pPr>
        <w:spacing w:after="0"/>
      </w:pPr>
    </w:p>
    <w:p w:rsidR="003F79C5" w:rsidRDefault="00453D04">
      <w:pPr>
        <w:spacing w:after="0"/>
        <w:ind w:right="6"/>
        <w:jc w:val="right"/>
      </w:pPr>
      <w:bookmarkStart w:id="1" w:name="_Hlk526163374"/>
      <w:bookmarkEnd w:id="1"/>
      <w:r>
        <w:rPr>
          <w:rFonts w:ascii="Tahoma" w:eastAsia="Times New Roman" w:hAnsi="Tahoma" w:cs="Tahoma"/>
          <w:b/>
          <w:sz w:val="18"/>
        </w:rPr>
        <w:t xml:space="preserve">ZAŁĄCZNIK NR 10 DO SIWZ </w:t>
      </w:r>
    </w:p>
    <w:p w:rsidR="003F79C5" w:rsidRDefault="003F79C5">
      <w:pPr>
        <w:spacing w:after="0"/>
        <w:ind w:right="6"/>
        <w:rPr>
          <w:rFonts w:ascii="Tahoma" w:eastAsia="Times New Roman" w:hAnsi="Tahoma" w:cs="Tahoma"/>
          <w:b/>
          <w:sz w:val="18"/>
        </w:rPr>
      </w:pPr>
    </w:p>
    <w:p w:rsidR="003F79C5" w:rsidRDefault="00453D04">
      <w:pPr>
        <w:pStyle w:val="Tytu"/>
        <w:jc w:val="right"/>
        <w:rPr>
          <w:i/>
          <w:iCs/>
          <w:sz w:val="24"/>
        </w:rPr>
      </w:pPr>
      <w:r>
        <w:rPr>
          <w:i/>
          <w:iCs/>
          <w:noProof/>
          <w:sz w:val="24"/>
        </w:rPr>
        <mc:AlternateContent>
          <mc:Choice Requires="wps">
            <w:drawing>
              <wp:anchor distT="0" distB="13970" distL="114300" distR="133350" simplePos="0" relativeHeight="3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154305</wp:posOffset>
                </wp:positionV>
                <wp:extent cx="2059305" cy="768985"/>
                <wp:effectExtent l="0" t="0" r="0" b="0"/>
                <wp:wrapNone/>
                <wp:docPr id="2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840" cy="768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F79C5" w:rsidRDefault="003F79C5">
      <w:pPr>
        <w:jc w:val="center"/>
        <w:rPr>
          <w:rFonts w:ascii="Tahoma" w:hAnsi="Tahoma" w:cs="Tahoma"/>
          <w:i/>
          <w:sz w:val="18"/>
          <w:szCs w:val="18"/>
        </w:rPr>
      </w:pPr>
    </w:p>
    <w:p w:rsidR="003F79C5" w:rsidRDefault="003F79C5">
      <w:pPr>
        <w:rPr>
          <w:rFonts w:ascii="Tahoma" w:hAnsi="Tahoma" w:cs="Tahoma"/>
          <w:i/>
          <w:sz w:val="18"/>
          <w:szCs w:val="18"/>
        </w:rPr>
      </w:pPr>
    </w:p>
    <w:p w:rsidR="003F79C5" w:rsidRDefault="003F79C5">
      <w:pPr>
        <w:rPr>
          <w:rFonts w:ascii="Tahoma" w:hAnsi="Tahoma" w:cs="Tahoma"/>
          <w:i/>
          <w:sz w:val="18"/>
          <w:szCs w:val="18"/>
        </w:rPr>
      </w:pPr>
    </w:p>
    <w:p w:rsidR="003F79C5" w:rsidRDefault="00453D04">
      <w:pPr>
        <w:ind w:firstLine="708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(pieczęć adresowa Wykonawcy)</w:t>
      </w:r>
    </w:p>
    <w:p w:rsidR="003F79C5" w:rsidRDefault="003F79C5">
      <w:pPr>
        <w:spacing w:after="0" w:line="240" w:lineRule="auto"/>
        <w:rPr>
          <w:rFonts w:ascii="Tahoma" w:hAnsi="Tahoma" w:cs="Tahoma"/>
        </w:rPr>
      </w:pPr>
    </w:p>
    <w:p w:rsidR="003F79C5" w:rsidRDefault="00453D04">
      <w:pPr>
        <w:spacing w:after="0"/>
        <w:jc w:val="center"/>
        <w:rPr>
          <w:rFonts w:ascii="Tahoma" w:eastAsia="Times New Roman" w:hAnsi="Tahoma" w:cs="Tahoma"/>
          <w:b/>
          <w:szCs w:val="32"/>
        </w:rPr>
      </w:pPr>
      <w:r>
        <w:rPr>
          <w:rFonts w:ascii="Tahoma" w:eastAsia="Times New Roman" w:hAnsi="Tahoma" w:cs="Tahoma"/>
          <w:b/>
          <w:szCs w:val="32"/>
        </w:rPr>
        <w:t>WYKAZ OFEROWANYCH FUNKCJONALNOŚCI DODATKOWYCH</w:t>
      </w:r>
    </w:p>
    <w:p w:rsidR="003F79C5" w:rsidRDefault="00453D04">
      <w:pPr>
        <w:spacing w:after="0" w:line="240" w:lineRule="auto"/>
        <w:ind w:right="902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 </w:t>
      </w:r>
    </w:p>
    <w:p w:rsidR="003F79C5" w:rsidRDefault="00453D04">
      <w:pPr>
        <w:widowControl w:val="0"/>
        <w:spacing w:after="0" w:line="434" w:lineRule="auto"/>
        <w:ind w:left="200" w:hanging="22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Ja/my, niżej podpisany/i </w:t>
      </w:r>
    </w:p>
    <w:p w:rsidR="003F79C5" w:rsidRDefault="00453D04">
      <w:pPr>
        <w:widowControl w:val="0"/>
        <w:spacing w:after="0" w:line="434" w:lineRule="auto"/>
        <w:ind w:left="200" w:hanging="22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3F79C5" w:rsidRDefault="00453D04">
      <w:pPr>
        <w:widowControl w:val="0"/>
        <w:spacing w:after="0" w:line="434" w:lineRule="auto"/>
        <w:ind w:left="200" w:hanging="22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="Tahoma" w:eastAsia="Times New Roman" w:hAnsi="Tahoma" w:cs="Tahoma"/>
          <w:sz w:val="18"/>
          <w:szCs w:val="18"/>
        </w:rPr>
        <w:t>.................</w:t>
      </w:r>
    </w:p>
    <w:p w:rsidR="003F79C5" w:rsidRDefault="00453D04">
      <w:pPr>
        <w:widowControl w:val="0"/>
        <w:spacing w:after="0" w:line="240" w:lineRule="auto"/>
        <w:ind w:hanging="2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będąc uczestnikiem postępowania o udzielnie zamówienia pn.: „Wdroż</w:t>
      </w:r>
      <w:r>
        <w:rPr>
          <w:rFonts w:ascii="Arial" w:hAnsi="Arial" w:cs="Arial"/>
        </w:rPr>
        <w:t>enie elektronicznej dokumentacji medycznej oraz e-usług w Samodzielnym Publicznym Zakładzie Pielęgnacyjno-Opiekuńczym w Reszlu.</w:t>
      </w:r>
      <w:r>
        <w:rPr>
          <w:rFonts w:ascii="Arial" w:eastAsia="Times New Roman" w:hAnsi="Arial" w:cs="Arial"/>
        </w:rPr>
        <w:t xml:space="preserve">”, oświadczam, że spełniam wszystkie </w:t>
      </w:r>
      <w:r>
        <w:rPr>
          <w:rFonts w:ascii="Arial" w:eastAsia="Times New Roman" w:hAnsi="Arial" w:cs="Arial"/>
        </w:rPr>
        <w:t>wymagania obligatoryjne opisane w Załączniku Nr 1A do SIWZ oraz deklarowane</w:t>
      </w:r>
      <w:r>
        <w:rPr>
          <w:rFonts w:ascii="Tahoma" w:eastAsia="Times New Roman" w:hAnsi="Tahoma" w:cs="Tahoma"/>
          <w:sz w:val="18"/>
          <w:szCs w:val="18"/>
        </w:rPr>
        <w:t xml:space="preserve"> </w:t>
      </w:r>
      <w:r>
        <w:rPr>
          <w:rFonts w:ascii="Arial" w:hAnsi="Arial" w:cs="Arial"/>
        </w:rPr>
        <w:t>funkcjonalności dodatkowe Systemu opisane w poniższej tabeli i podlegające weryfikacji z próbki: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6"/>
        <w:gridCol w:w="6161"/>
        <w:gridCol w:w="1196"/>
        <w:gridCol w:w="1395"/>
      </w:tblGrid>
      <w:tr w:rsidR="003F79C5">
        <w:trPr>
          <w:trHeight w:val="492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9C5" w:rsidRDefault="00453D04">
            <w:pPr>
              <w:pStyle w:val="ATabela-nagwek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Lp.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9C5" w:rsidRDefault="00453D04">
            <w:pPr>
              <w:pStyle w:val="ATabela-nagwek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Opis wymagania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nagwek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Ilość Punktów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9C5" w:rsidRDefault="00453D04">
            <w:pPr>
              <w:pStyle w:val="ATabela-nagwek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Oferowanie spełnienia</w:t>
            </w:r>
          </w:p>
          <w:p w:rsidR="003F79C5" w:rsidRDefault="00453D04">
            <w:pPr>
              <w:pStyle w:val="ATabela-nagwek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(TAK / NIE)</w:t>
            </w:r>
            <w:bookmarkStart w:id="2" w:name="_Hlk525204347"/>
            <w:bookmarkEnd w:id="2"/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3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DefaultZnakZnak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System posiada</w:t>
            </w:r>
            <w:r>
              <w:rPr>
                <w:rFonts w:ascii="Tahoma" w:hAnsi="Tahoma" w:cs="Tahoma"/>
                <w:sz w:val="18"/>
                <w:szCs w:val="18"/>
              </w:rPr>
              <w:t xml:space="preserve"> mechanizm zlecania badań laboratoryjnych umożliwiający: dowolne pogrupowanie zlecanych badań laboratoryjnych w dowolne grupy o konfigurowalnych nazwach. System umożliwia określenie dowolnej kolejności wyświetlania grup, dowolnej kolejności wyświetlania ba</w:t>
            </w:r>
            <w:r>
              <w:rPr>
                <w:rFonts w:ascii="Tahoma" w:hAnsi="Tahoma" w:cs="Tahoma"/>
                <w:sz w:val="18"/>
                <w:szCs w:val="18"/>
              </w:rPr>
              <w:t>dań w ramach grup, określenie koloru wyświetlania grupy badań na karcie zleceń. System umożliwia zlecanie badań laboratoryjnych do pobranych wcześniej materiałów (w zakresie tzw. czasu życia próbki w laboratorium). System informuje użytkownika o tym że mat</w:t>
            </w:r>
            <w:r>
              <w:rPr>
                <w:rFonts w:ascii="Tahoma" w:hAnsi="Tahoma" w:cs="Tahoma"/>
                <w:sz w:val="18"/>
                <w:szCs w:val="18"/>
              </w:rPr>
              <w:t>eriał na którym zleca badanie został wcześniej pobrany i istnieje już w laboratorium. System umożliwia automatyczne zarejestrowanie procedury ICD9 na podstawie wykonanych badań laboratoryjnych. System umożliwia tworzenia pakietów badań użytkownika lub oddz</w:t>
            </w:r>
            <w:r>
              <w:rPr>
                <w:rFonts w:ascii="Tahoma" w:hAnsi="Tahoma" w:cs="Tahoma"/>
                <w:sz w:val="18"/>
                <w:szCs w:val="18"/>
              </w:rPr>
              <w:t xml:space="preserve">iału pozwalających na jednoczesne zarejestrowanie zlecenia na wszystkie badania znajdujące się w pakiecie. System posiada mechanizm umożliwiający automatyczne rozdzielenie badań na pracownie (jeśli na 1 zleceniu zapisane zostały badania z różnych pracowni </w:t>
            </w:r>
            <w:r>
              <w:rPr>
                <w:rFonts w:ascii="Tahoma" w:hAnsi="Tahoma" w:cs="Tahoma"/>
                <w:sz w:val="18"/>
                <w:szCs w:val="18"/>
              </w:rPr>
              <w:t>– system automatycznie tworzy tyle zleceń do ilu pracowni zostały zlecone badania - dla każdej z pracowni wymagany jest inny wzór skierowania na badanie).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rPr>
          <w:trHeight w:val="9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79C5" w:rsidRDefault="00453D04">
            <w:pPr>
              <w:spacing w:after="0"/>
              <w:jc w:val="both"/>
            </w:pPr>
            <w:r>
              <w:rPr>
                <w:rFonts w:ascii="Tahoma" w:hAnsi="Tahoma" w:cs="Tahoma"/>
                <w:sz w:val="18"/>
                <w:szCs w:val="20"/>
              </w:rPr>
              <w:t>System wspiera użytkownika w zakresie kompletności wprowadzanych danych w ramach pobytu</w:t>
            </w:r>
            <w:r>
              <w:rPr>
                <w:rFonts w:ascii="Tahoma" w:hAnsi="Tahoma" w:cs="Tahoma"/>
                <w:sz w:val="18"/>
                <w:szCs w:val="20"/>
              </w:rPr>
              <w:t>. Umożliwia skonfigurowanie, jakie informacje muszą być wypełnione aby zatwierdzić wypis pacjenta.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b/>
                <w:i/>
                <w:color w:val="C00000"/>
                <w:sz w:val="18"/>
                <w:szCs w:val="18"/>
              </w:rPr>
            </w:pPr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79C5" w:rsidRDefault="00453D04">
            <w:pPr>
              <w:snapToGrid w:val="0"/>
              <w:spacing w:after="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System umożliwia grupowe ( dla wszystkich lub wybranych pacjentów z danego oddziału ) wprowadzanie wyników pomiarów.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System udostępnia </w:t>
            </w:r>
            <w:r>
              <w:rPr>
                <w:rFonts w:ascii="Tahoma" w:hAnsi="Tahoma" w:cs="Tahoma"/>
                <w:sz w:val="18"/>
                <w:szCs w:val="18"/>
              </w:rPr>
              <w:t>rozszerzone widoki rejestru zakażeń szpitalnych z następującym minimalnym zakresem informacji: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rozpoznania pacjenta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sposób postępowania wobec pacjenta (wybór ze słownika sposobów postępowania)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sposób postępowania wobec oddziału (wybór ze słownika sposobów </w:t>
            </w:r>
            <w:r>
              <w:rPr>
                <w:rFonts w:ascii="Tahoma" w:hAnsi="Tahoma" w:cs="Tahoma"/>
                <w:sz w:val="18"/>
                <w:szCs w:val="18"/>
              </w:rPr>
              <w:t>postępowania)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 zabieg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 nastąpił zgon pacjenta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droga zakażenia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źródło zakażenia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czynniki wystąpienia ryzyka zakażenia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</w:pPr>
            <w:r>
              <w:rPr>
                <w:rFonts w:ascii="Tahoma" w:hAnsi="Tahoma" w:cs="Tahoma"/>
                <w:sz w:val="18"/>
                <w:szCs w:val="18"/>
              </w:rPr>
              <w:t xml:space="preserve">wyniki badania mikrobiologicznego potwierdzające zakażenia – wyniki automatycznie pobierane z systemu wspomagającego obsługę </w:t>
            </w:r>
            <w:r>
              <w:rPr>
                <w:rFonts w:ascii="Tahoma" w:hAnsi="Tahoma" w:cs="Tahoma"/>
                <w:sz w:val="18"/>
                <w:szCs w:val="18"/>
              </w:rPr>
              <w:t>laboratorium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grupy ryzyka do których należy pacjent </w:t>
            </w:r>
          </w:p>
          <w:p w:rsidR="003F79C5" w:rsidRDefault="00453D04">
            <w:pPr>
              <w:numPr>
                <w:ilvl w:val="0"/>
                <w:numId w:val="2"/>
              </w:numPr>
              <w:tabs>
                <w:tab w:val="left" w:pos="405"/>
              </w:tabs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uwagi dodatkowe</w:t>
            </w:r>
          </w:p>
          <w:p w:rsidR="003F79C5" w:rsidRDefault="003F79C5">
            <w:pPr>
              <w:snapToGrid w:val="0"/>
              <w:spacing w:after="0" w:line="240" w:lineRule="auto"/>
              <w:ind w:left="405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rPr>
          <w:trHeight w:val="94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9C5" w:rsidRDefault="00453D04">
            <w:pPr>
              <w:spacing w:after="0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System posiada przynajmniej trzy mechanizmy automatycznej numeracji kartotek pacjentów w systemie: numeracja ciągła od 1 do n, numeracja zależna od oddziału oraz numeracja zależna </w:t>
            </w:r>
            <w:r>
              <w:rPr>
                <w:rFonts w:ascii="Tahoma" w:hAnsi="Tahoma" w:cs="Tahoma"/>
                <w:sz w:val="18"/>
                <w:szCs w:val="20"/>
              </w:rPr>
              <w:t>od pierwszej litery nazwiska pacjenta.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9C5" w:rsidRDefault="00453D04">
            <w:pPr>
              <w:jc w:val="both"/>
            </w:pPr>
            <w:r>
              <w:rPr>
                <w:rFonts w:ascii="Tahoma" w:hAnsi="Tahoma" w:cs="Tahoma"/>
                <w:sz w:val="18"/>
                <w:szCs w:val="20"/>
              </w:rPr>
              <w:t xml:space="preserve">System umożliwia zarejestrowanie przyjęcia pacjenta w Księdze Oddziałowej wraz z pełnym zakresem informacji, określonym w stosownym rozporządzaniu Ministra Zdrowia oraz dodatkowo: ocena pacjenta w skali </w:t>
            </w:r>
            <w:r>
              <w:rPr>
                <w:rFonts w:ascii="Tahoma" w:hAnsi="Tahoma" w:cs="Tahoma"/>
                <w:b/>
                <w:i/>
                <w:color w:val="C00000"/>
                <w:sz w:val="18"/>
                <w:szCs w:val="18"/>
              </w:rPr>
              <w:t>BARTHEL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9C5" w:rsidRDefault="00453D04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</w:pPr>
            <w:r>
              <w:rPr>
                <w:rFonts w:ascii="Tahoma" w:hAnsi="Tahoma"/>
                <w:b/>
                <w:i/>
                <w:color w:val="C00000"/>
                <w:sz w:val="18"/>
                <w:szCs w:val="18"/>
              </w:rPr>
              <w:t xml:space="preserve"> </w:t>
            </w:r>
          </w:p>
        </w:tc>
      </w:tr>
      <w:tr w:rsidR="003F79C5">
        <w:trPr>
          <w:trHeight w:val="18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9C5" w:rsidRDefault="00453D04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>Apteka Szpitalna</w:t>
            </w:r>
          </w:p>
          <w:p w:rsidR="003F79C5" w:rsidRDefault="00453D04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System powinien umożliwiać wprowadzanie podobnych dostaw w ramach tego samego dokumentu przychodowego bez potrzeby przepisywania tych samych danych dla tych dostaw, tj. możliwość wprowadzenia kolejnej pozycji dokumentu przychodoweg</w:t>
            </w:r>
            <w:r>
              <w:rPr>
                <w:rFonts w:ascii="Tahoma" w:hAnsi="Tahoma" w:cs="Tahoma"/>
                <w:sz w:val="18"/>
                <w:szCs w:val="20"/>
              </w:rPr>
              <w:t>o różniącej się tylko od poprzedniej np. numerem serii bez potrzeby ponownego wpisywania tych samych cech przyjmowanego asortymentu (np. ceny, daty ważności, uwag, miejsca składowania, przyporządkowania do pakietu umowy przetargowej i innych).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Apteka</w:t>
            </w:r>
            <w:r>
              <w:rPr>
                <w:rFonts w:ascii="Tahoma" w:hAnsi="Tahoma" w:cs="Tahoma"/>
                <w:sz w:val="18"/>
                <w:szCs w:val="18"/>
              </w:rPr>
              <w:t xml:space="preserve"> Szpitalna</w:t>
            </w:r>
            <w:r>
              <w:rPr>
                <w:rFonts w:ascii="Tahoma" w:hAnsi="Tahoma" w:cs="Tahoma"/>
                <w:sz w:val="18"/>
                <w:szCs w:val="18"/>
              </w:rPr>
              <w:br/>
              <w:t>Możliwość tworzenia limitów ilościowych i wartościowych, które są kontrolowane w momencie rozchodu towarów.</w:t>
            </w:r>
          </w:p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Limity wartościowe, możliwe do wprowadzenia:</w:t>
            </w:r>
          </w:p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dla wybranej jednostki organizacyjnej</w:t>
            </w:r>
          </w:p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dla wybranych towarów,</w:t>
            </w:r>
          </w:p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dla wybranych lekarzy,</w:t>
            </w:r>
          </w:p>
          <w:p w:rsidR="003F79C5" w:rsidRDefault="00453D04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</w:rPr>
              <w:t>dla wybranych pacjentów.</w:t>
            </w:r>
          </w:p>
          <w:p w:rsidR="003F79C5" w:rsidRDefault="003F79C5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:rsidR="003F79C5" w:rsidRDefault="00453D0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Możliwość wprowadzania limitów wartościowych dla miesięcy kalendarzowych – możliwe wprowadzenia różnej wartości dla różnych miesięcy.</w:t>
            </w:r>
            <w:r>
              <w:rPr>
                <w:rFonts w:ascii="Tahoma" w:hAnsi="Tahoma" w:cs="Tahoma"/>
                <w:sz w:val="18"/>
                <w:szCs w:val="18"/>
              </w:rPr>
              <w:br/>
              <w:t>Działanie limitów:</w:t>
            </w:r>
          </w:p>
          <w:p w:rsidR="003F79C5" w:rsidRDefault="00453D0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trybie blokady – brak możliwości stworzenia dokumentu rozchodu z towarem, d</w:t>
            </w:r>
            <w:r>
              <w:rPr>
                <w:rFonts w:ascii="Tahoma" w:hAnsi="Tahoma" w:cs="Tahoma"/>
                <w:sz w:val="18"/>
                <w:szCs w:val="18"/>
              </w:rPr>
              <w:t>la którego limit wartościowy przy spełnieniu zdefiniowanych warunków został przekroczony.</w:t>
            </w:r>
          </w:p>
          <w:p w:rsidR="003F79C5" w:rsidRDefault="00453D04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trybie informacyjnym – wyświetlenie informacji o przekroczonym limicie, z możliwością zignorowania przez użytkownika i stworzenia dokumentu rozchodu.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F79C5" w:rsidRDefault="00453D04">
            <w:pPr>
              <w:pStyle w:val="Bezodstpw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W ramach</w:t>
            </w:r>
            <w:r>
              <w:rPr>
                <w:rFonts w:ascii="Tahoma" w:hAnsi="Tahoma" w:cs="Tahoma"/>
                <w:sz w:val="18"/>
                <w:szCs w:val="20"/>
              </w:rPr>
              <w:t xml:space="preserve"> ochrony danych osobowych system prezentując w różnych kontekstach ( np. rezerwacje do lekarza, wpisy w księdze oczekujących, wpisy w księdze głównej ) listy pacjentów zawierające imię, nazwisko, pesel stosuje maskowanie. W danej chwili użytkownik widzi fr</w:t>
            </w:r>
            <w:r>
              <w:rPr>
                <w:rFonts w:ascii="Tahoma" w:hAnsi="Tahoma" w:cs="Tahoma"/>
                <w:sz w:val="18"/>
                <w:szCs w:val="20"/>
              </w:rPr>
              <w:t>agment danych niepozwalający jednoznacznie określić pacjenta. Wejście w szczegóły danego elementu listy pozwala wyświetlić pełne dane pacjenta.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  <w:rPr>
                <w:rFonts w:ascii="Tahoma" w:hAnsi="Tahoma"/>
                <w:sz w:val="18"/>
                <w:szCs w:val="18"/>
              </w:rPr>
            </w:pPr>
          </w:p>
        </w:tc>
      </w:tr>
      <w:tr w:rsidR="003F79C5">
        <w:trPr>
          <w:trHeight w:val="2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Normalny-numerowanie1"/>
              <w:ind w:left="360" w:hanging="36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453D04">
            <w:pPr>
              <w:pStyle w:val="ATabela-tekst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Uzyskana ilość punktów – Proszę wpisać (max. ilość=100 punków):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C5" w:rsidRDefault="003F79C5">
            <w:pPr>
              <w:pStyle w:val="ATabela-tekst"/>
            </w:pPr>
            <w:bookmarkStart w:id="3" w:name="_Hlk525897381"/>
            <w:bookmarkEnd w:id="3"/>
          </w:p>
        </w:tc>
      </w:tr>
    </w:tbl>
    <w:p w:rsidR="003F79C5" w:rsidRDefault="00453D04">
      <w:pPr>
        <w:pStyle w:val="ANormalny"/>
        <w:rPr>
          <w:rFonts w:ascii="Tahoma" w:hAnsi="Tahoma"/>
          <w:sz w:val="18"/>
          <w:szCs w:val="22"/>
        </w:rPr>
      </w:pPr>
      <w:r>
        <w:rPr>
          <w:rFonts w:ascii="Tahoma" w:hAnsi="Tahoma"/>
          <w:sz w:val="18"/>
          <w:szCs w:val="22"/>
        </w:rPr>
        <w:lastRenderedPageBreak/>
        <w:t xml:space="preserve">W kolumnie „Oferowanie spełnienia” </w:t>
      </w:r>
      <w:r>
        <w:rPr>
          <w:rFonts w:ascii="Tahoma" w:hAnsi="Tahoma"/>
          <w:sz w:val="18"/>
          <w:szCs w:val="22"/>
        </w:rPr>
        <w:t>należy wpisać „TAK” jeżeli Wykonawca deklaruje spełnienie tego wymagania lub „NIE” jeżeli Wykonawca nie deklaruje spełnienia tego wymagania.</w:t>
      </w:r>
    </w:p>
    <w:p w:rsidR="003F79C5" w:rsidRDefault="003F79C5">
      <w:pPr>
        <w:rPr>
          <w:rFonts w:ascii="Tahoma" w:hAnsi="Tahoma" w:cs="Tahoma"/>
        </w:rPr>
      </w:pPr>
    </w:p>
    <w:p w:rsidR="003F79C5" w:rsidRDefault="00453D0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……………………….dn. ……………………</w:t>
      </w:r>
      <w:r>
        <w:rPr>
          <w:rFonts w:ascii="Tahoma" w:hAnsi="Tahoma" w:cs="Tahoma"/>
          <w:sz w:val="20"/>
          <w:szCs w:val="20"/>
        </w:rPr>
        <w:tab/>
        <w:t xml:space="preserve">       ………………………………………………………………………………                          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3F79C5" w:rsidRDefault="00453D04">
      <w:pPr>
        <w:spacing w:after="0" w:line="240" w:lineRule="auto"/>
      </w:pPr>
      <w:r>
        <w:rPr>
          <w:rFonts w:ascii="Tahoma" w:hAnsi="Tahoma" w:cs="Tahoma"/>
          <w:sz w:val="18"/>
          <w:szCs w:val="20"/>
        </w:rPr>
        <w:tab/>
      </w:r>
      <w:r>
        <w:rPr>
          <w:rFonts w:ascii="Tahoma" w:hAnsi="Tahoma" w:cs="Tahoma"/>
          <w:sz w:val="18"/>
          <w:szCs w:val="20"/>
        </w:rPr>
        <w:tab/>
      </w:r>
      <w:r>
        <w:rPr>
          <w:rFonts w:ascii="Tahoma" w:hAnsi="Tahoma" w:cs="Tahoma"/>
          <w:sz w:val="18"/>
          <w:szCs w:val="20"/>
        </w:rPr>
        <w:tab/>
      </w:r>
      <w:r>
        <w:rPr>
          <w:rFonts w:ascii="Tahoma" w:hAnsi="Tahoma" w:cs="Tahoma"/>
          <w:sz w:val="18"/>
          <w:szCs w:val="20"/>
        </w:rPr>
        <w:tab/>
        <w:t xml:space="preserve"> </w:t>
      </w:r>
      <w:r>
        <w:rPr>
          <w:rFonts w:ascii="Tahoma" w:hAnsi="Tahoma" w:cs="Tahoma"/>
          <w:sz w:val="18"/>
          <w:szCs w:val="20"/>
        </w:rPr>
        <w:tab/>
        <w:t xml:space="preserve">     (podpis i piec</w:t>
      </w:r>
      <w:r>
        <w:rPr>
          <w:rFonts w:ascii="Tahoma" w:hAnsi="Tahoma" w:cs="Tahoma"/>
          <w:sz w:val="18"/>
          <w:szCs w:val="20"/>
        </w:rPr>
        <w:t>zęć upełnomocnionego przedstawiciela Wykonawcy)</w:t>
      </w:r>
    </w:p>
    <w:sectPr w:rsidR="003F79C5"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3CA"/>
    <w:multiLevelType w:val="multilevel"/>
    <w:tmpl w:val="C346FB50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C26F66"/>
    <w:multiLevelType w:val="multilevel"/>
    <w:tmpl w:val="B524B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0F0820"/>
    <w:multiLevelType w:val="multilevel"/>
    <w:tmpl w:val="BAEA3732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36CF7"/>
    <w:multiLevelType w:val="multilevel"/>
    <w:tmpl w:val="3418082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C5"/>
    <w:rsid w:val="003F79C5"/>
    <w:rsid w:val="004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NagwekZnak">
    <w:name w:val="Nagłówek Znak"/>
    <w:qFormat/>
    <w:rPr>
      <w:rFonts w:eastAsia="Calibri" w:cs="Calibri"/>
      <w:color w:val="000000"/>
      <w:sz w:val="22"/>
      <w:szCs w:val="22"/>
    </w:rPr>
  </w:style>
  <w:style w:type="character" w:customStyle="1" w:styleId="StopkaZnak">
    <w:name w:val="Stopka Znak"/>
    <w:qFormat/>
    <w:rPr>
      <w:rFonts w:eastAsia="Calibri" w:cs="Calibri"/>
      <w:color w:val="000000"/>
      <w:sz w:val="22"/>
      <w:szCs w:val="22"/>
    </w:rPr>
  </w:style>
  <w:style w:type="character" w:customStyle="1" w:styleId="DefaultZnakZnakZnak">
    <w:name w:val="Default Znak Znak Znak"/>
    <w:qFormat/>
    <w:rPr>
      <w:rFonts w:ascii="Arial Narrow" w:hAnsi="Arial Narrow"/>
      <w:color w:val="000000"/>
      <w:sz w:val="24"/>
      <w:szCs w:val="24"/>
    </w:rPr>
  </w:style>
  <w:style w:type="character" w:customStyle="1" w:styleId="TytuZnak">
    <w:name w:val="Tytuł Znak"/>
    <w:basedOn w:val="Domylnaczcionkaakapitu"/>
    <w:qFormat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ahoma" w:hAnsi="Tahoma"/>
      <w:b w:val="0"/>
      <w:i w:val="0"/>
      <w:sz w:val="1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2">
    <w:name w:val="ListLabel 22"/>
    <w:qFormat/>
    <w:rPr>
      <w:rFonts w:ascii="Tahoma" w:eastAsia="Times New Roman" w:hAnsi="Tahoma" w:cs="Tahoma"/>
      <w:color w:val="FF0000"/>
      <w:sz w:val="16"/>
      <w:szCs w:val="16"/>
      <w:u w:val="single" w:color="FF0000"/>
      <w:lang w:val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3">
    <w:name w:val="ListLabel 23"/>
    <w:qFormat/>
    <w:rPr>
      <w:rFonts w:ascii="Tahoma" w:eastAsia="Times New Roman" w:hAnsi="Tahoma" w:cs="Tahoma"/>
      <w:i/>
      <w:iCs/>
      <w:color w:val="FF0000"/>
      <w:sz w:val="16"/>
      <w:szCs w:val="16"/>
      <w:u w:val="single" w:color="FF0000"/>
      <w:lang w:val="en-US"/>
    </w:rPr>
  </w:style>
  <w:style w:type="character" w:customStyle="1" w:styleId="ListLabel24">
    <w:name w:val="ListLabel 24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25">
    <w:name w:val="ListLabel 25"/>
    <w:qFormat/>
    <w:rPr>
      <w:rFonts w:ascii="Tahoma" w:hAnsi="Tahoma" w:cs="Tahoma"/>
      <w:b w:val="0"/>
      <w:i w:val="0"/>
      <w:sz w:val="18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35">
    <w:name w:val="ListLabel 35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36">
    <w:name w:val="ListLabel 36"/>
    <w:qFormat/>
    <w:rPr>
      <w:rFonts w:ascii="Tahoma" w:hAnsi="Tahoma" w:cs="Tahoma"/>
      <w:b w:val="0"/>
      <w:i w:val="0"/>
      <w:sz w:val="1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Tabela-punkt">
    <w:name w:val="A.Tabela-punkt"/>
    <w:basedOn w:val="Normalny"/>
    <w:qFormat/>
    <w:pPr>
      <w:tabs>
        <w:tab w:val="left" w:pos="305"/>
      </w:tabs>
      <w:spacing w:after="0" w:line="240" w:lineRule="auto"/>
      <w:ind w:left="305" w:hanging="305"/>
      <w:jc w:val="both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ANormalny">
    <w:name w:val="A.Normalny"/>
    <w:basedOn w:val="Normalny"/>
    <w:qFormat/>
    <w:pPr>
      <w:spacing w:after="0" w:line="240" w:lineRule="auto"/>
      <w:jc w:val="both"/>
    </w:pPr>
    <w:rPr>
      <w:rFonts w:ascii="Times New Roman" w:eastAsia="Times New Roman" w:hAnsi="Times New Roman" w:cs="Tahoma"/>
      <w:color w:val="auto"/>
      <w:szCs w:val="20"/>
    </w:rPr>
  </w:style>
  <w:style w:type="paragraph" w:customStyle="1" w:styleId="ATabela-tekst">
    <w:name w:val="A.Tabela-tekst"/>
    <w:basedOn w:val="Normalny"/>
    <w:qFormat/>
    <w:pPr>
      <w:spacing w:after="0" w:line="240" w:lineRule="auto"/>
      <w:jc w:val="both"/>
    </w:pPr>
    <w:rPr>
      <w:rFonts w:ascii="Times New Roman" w:eastAsia="Times New Roman" w:hAnsi="Times New Roman" w:cs="Tahoma"/>
      <w:color w:val="auto"/>
      <w:sz w:val="20"/>
      <w:szCs w:val="20"/>
    </w:rPr>
  </w:style>
  <w:style w:type="paragraph" w:customStyle="1" w:styleId="ATabela-nagwek">
    <w:name w:val="A.Tabela-nagłówek"/>
    <w:basedOn w:val="Normalny"/>
    <w:qFormat/>
    <w:pPr>
      <w:spacing w:after="0" w:line="240" w:lineRule="auto"/>
      <w:jc w:val="center"/>
    </w:pPr>
    <w:rPr>
      <w:rFonts w:ascii="Times New Roman" w:eastAsia="Times New Roman" w:hAnsi="Times New Roman" w:cs="Tahoma"/>
      <w:b/>
      <w:color w:val="auto"/>
      <w:sz w:val="20"/>
      <w:szCs w:val="20"/>
    </w:rPr>
  </w:style>
  <w:style w:type="paragraph" w:customStyle="1" w:styleId="ANormalny-numerowanie1">
    <w:name w:val="A.Normalny-numerowanie1"/>
    <w:basedOn w:val="ANormalny"/>
    <w:qFormat/>
    <w:pPr>
      <w:spacing w:before="120" w:after="120"/>
    </w:pPr>
  </w:style>
  <w:style w:type="paragraph" w:customStyle="1" w:styleId="DefaultZnakZnak">
    <w:name w:val="Default Znak Znak"/>
    <w:qFormat/>
    <w:pPr>
      <w:widowControl w:val="0"/>
    </w:pPr>
    <w:rPr>
      <w:rFonts w:ascii="Arial Narrow" w:hAnsi="Arial Narrow"/>
      <w:color w:val="000000"/>
      <w:sz w:val="24"/>
      <w:szCs w:val="24"/>
    </w:rPr>
  </w:style>
  <w:style w:type="paragraph" w:customStyle="1" w:styleId="ZnakZnak5">
    <w:name w:val="Znak Znak5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Bezodstpw">
    <w:name w:val="No Spacing"/>
    <w:basedOn w:val="Normalny"/>
    <w:qFormat/>
    <w:pPr>
      <w:spacing w:after="0" w:line="240" w:lineRule="auto"/>
    </w:pPr>
    <w:rPr>
      <w:rFonts w:eastAsia="Times New Roman" w:cs="Times New Roman"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eastAsia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NagwekZnak">
    <w:name w:val="Nagłówek Znak"/>
    <w:qFormat/>
    <w:rPr>
      <w:rFonts w:eastAsia="Calibri" w:cs="Calibri"/>
      <w:color w:val="000000"/>
      <w:sz w:val="22"/>
      <w:szCs w:val="22"/>
    </w:rPr>
  </w:style>
  <w:style w:type="character" w:customStyle="1" w:styleId="StopkaZnak">
    <w:name w:val="Stopka Znak"/>
    <w:qFormat/>
    <w:rPr>
      <w:rFonts w:eastAsia="Calibri" w:cs="Calibri"/>
      <w:color w:val="000000"/>
      <w:sz w:val="22"/>
      <w:szCs w:val="22"/>
    </w:rPr>
  </w:style>
  <w:style w:type="character" w:customStyle="1" w:styleId="DefaultZnakZnakZnak">
    <w:name w:val="Default Znak Znak Znak"/>
    <w:qFormat/>
    <w:rPr>
      <w:rFonts w:ascii="Arial Narrow" w:hAnsi="Arial Narrow"/>
      <w:color w:val="000000"/>
      <w:sz w:val="24"/>
      <w:szCs w:val="24"/>
    </w:rPr>
  </w:style>
  <w:style w:type="character" w:customStyle="1" w:styleId="TytuZnak">
    <w:name w:val="Tytuł Znak"/>
    <w:basedOn w:val="Domylnaczcionkaakapitu"/>
    <w:qFormat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ahoma" w:hAnsi="Tahoma"/>
      <w:b w:val="0"/>
      <w:i w:val="0"/>
      <w:sz w:val="1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2">
    <w:name w:val="ListLabel 22"/>
    <w:qFormat/>
    <w:rPr>
      <w:rFonts w:ascii="Tahoma" w:eastAsia="Times New Roman" w:hAnsi="Tahoma" w:cs="Tahoma"/>
      <w:color w:val="FF0000"/>
      <w:sz w:val="16"/>
      <w:szCs w:val="16"/>
      <w:u w:val="single" w:color="FF0000"/>
      <w:lang w:val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3">
    <w:name w:val="ListLabel 23"/>
    <w:qFormat/>
    <w:rPr>
      <w:rFonts w:ascii="Tahoma" w:eastAsia="Times New Roman" w:hAnsi="Tahoma" w:cs="Tahoma"/>
      <w:i/>
      <w:iCs/>
      <w:color w:val="FF0000"/>
      <w:sz w:val="16"/>
      <w:szCs w:val="16"/>
      <w:u w:val="single" w:color="FF0000"/>
      <w:lang w:val="en-US"/>
    </w:rPr>
  </w:style>
  <w:style w:type="character" w:customStyle="1" w:styleId="ListLabel24">
    <w:name w:val="ListLabel 24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25">
    <w:name w:val="ListLabel 25"/>
    <w:qFormat/>
    <w:rPr>
      <w:rFonts w:ascii="Tahoma" w:hAnsi="Tahoma" w:cs="Tahoma"/>
      <w:b w:val="0"/>
      <w:i w:val="0"/>
      <w:sz w:val="18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35">
    <w:name w:val="ListLabel 35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36">
    <w:name w:val="ListLabel 36"/>
    <w:qFormat/>
    <w:rPr>
      <w:rFonts w:ascii="Tahoma" w:hAnsi="Tahoma" w:cs="Tahoma"/>
      <w:b w:val="0"/>
      <w:i w:val="0"/>
      <w:sz w:val="1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Tabela-punkt">
    <w:name w:val="A.Tabela-punkt"/>
    <w:basedOn w:val="Normalny"/>
    <w:qFormat/>
    <w:pPr>
      <w:tabs>
        <w:tab w:val="left" w:pos="305"/>
      </w:tabs>
      <w:spacing w:after="0" w:line="240" w:lineRule="auto"/>
      <w:ind w:left="305" w:hanging="305"/>
      <w:jc w:val="both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ANormalny">
    <w:name w:val="A.Normalny"/>
    <w:basedOn w:val="Normalny"/>
    <w:qFormat/>
    <w:pPr>
      <w:spacing w:after="0" w:line="240" w:lineRule="auto"/>
      <w:jc w:val="both"/>
    </w:pPr>
    <w:rPr>
      <w:rFonts w:ascii="Times New Roman" w:eastAsia="Times New Roman" w:hAnsi="Times New Roman" w:cs="Tahoma"/>
      <w:color w:val="auto"/>
      <w:szCs w:val="20"/>
    </w:rPr>
  </w:style>
  <w:style w:type="paragraph" w:customStyle="1" w:styleId="ATabela-tekst">
    <w:name w:val="A.Tabela-tekst"/>
    <w:basedOn w:val="Normalny"/>
    <w:qFormat/>
    <w:pPr>
      <w:spacing w:after="0" w:line="240" w:lineRule="auto"/>
      <w:jc w:val="both"/>
    </w:pPr>
    <w:rPr>
      <w:rFonts w:ascii="Times New Roman" w:eastAsia="Times New Roman" w:hAnsi="Times New Roman" w:cs="Tahoma"/>
      <w:color w:val="auto"/>
      <w:sz w:val="20"/>
      <w:szCs w:val="20"/>
    </w:rPr>
  </w:style>
  <w:style w:type="paragraph" w:customStyle="1" w:styleId="ATabela-nagwek">
    <w:name w:val="A.Tabela-nagłówek"/>
    <w:basedOn w:val="Normalny"/>
    <w:qFormat/>
    <w:pPr>
      <w:spacing w:after="0" w:line="240" w:lineRule="auto"/>
      <w:jc w:val="center"/>
    </w:pPr>
    <w:rPr>
      <w:rFonts w:ascii="Times New Roman" w:eastAsia="Times New Roman" w:hAnsi="Times New Roman" w:cs="Tahoma"/>
      <w:b/>
      <w:color w:val="auto"/>
      <w:sz w:val="20"/>
      <w:szCs w:val="20"/>
    </w:rPr>
  </w:style>
  <w:style w:type="paragraph" w:customStyle="1" w:styleId="ANormalny-numerowanie1">
    <w:name w:val="A.Normalny-numerowanie1"/>
    <w:basedOn w:val="ANormalny"/>
    <w:qFormat/>
    <w:pPr>
      <w:spacing w:before="120" w:after="120"/>
    </w:pPr>
  </w:style>
  <w:style w:type="paragraph" w:customStyle="1" w:styleId="DefaultZnakZnak">
    <w:name w:val="Default Znak Znak"/>
    <w:qFormat/>
    <w:pPr>
      <w:widowControl w:val="0"/>
    </w:pPr>
    <w:rPr>
      <w:rFonts w:ascii="Arial Narrow" w:hAnsi="Arial Narrow"/>
      <w:color w:val="000000"/>
      <w:sz w:val="24"/>
      <w:szCs w:val="24"/>
    </w:rPr>
  </w:style>
  <w:style w:type="paragraph" w:customStyle="1" w:styleId="ZnakZnak5">
    <w:name w:val="Znak Znak5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Bezodstpw">
    <w:name w:val="No Spacing"/>
    <w:basedOn w:val="Normalny"/>
    <w:qFormat/>
    <w:pPr>
      <w:spacing w:after="0" w:line="240" w:lineRule="auto"/>
    </w:pPr>
    <w:rPr>
      <w:rFonts w:eastAsia="Times New Roman" w:cs="Times New Roman"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eastAsia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941A5659</Template>
  <TotalTime>0</TotalTime>
  <Pages>3</Pages>
  <Words>789</Words>
  <Characters>4735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Bartoszyce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kesja</dc:creator>
  <cp:lastModifiedBy>Kowalski Janusz</cp:lastModifiedBy>
  <cp:revision>2</cp:revision>
  <dcterms:created xsi:type="dcterms:W3CDTF">2019-06-14T12:53:00Z</dcterms:created>
  <dcterms:modified xsi:type="dcterms:W3CDTF">2019-06-14T12:53:00Z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 Bartoszyce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